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AAD" w:rsidRDefault="002C4F6F" w:rsidP="006346E3">
      <w:pPr>
        <w:pStyle w:val="Title"/>
        <w:pBdr>
          <w:bottom w:val="single" w:sz="12" w:space="1" w:color="5B9BD5" w:themeColor="accent1"/>
        </w:pBdr>
      </w:pPr>
      <w:bookmarkStart w:id="0" w:name="h.gjdgxs" w:colFirst="0" w:colLast="0"/>
      <w:bookmarkEnd w:id="0"/>
      <w:r>
        <w:t xml:space="preserve">ACTRRA </w:t>
      </w:r>
      <w:r w:rsidR="006346E3">
        <w:t xml:space="preserve">Operational Report – </w:t>
      </w:r>
      <w:r w:rsidR="00B774D0">
        <w:rPr>
          <w:sz w:val="44"/>
        </w:rPr>
        <w:t>April</w:t>
      </w:r>
      <w:r w:rsidR="006346E3" w:rsidRPr="006346E3">
        <w:rPr>
          <w:sz w:val="44"/>
        </w:rPr>
        <w:t xml:space="preserve"> 2016</w:t>
      </w:r>
    </w:p>
    <w:p w:rsidR="00700AAD" w:rsidRDefault="006346E3">
      <w:r w:rsidRPr="006346E3">
        <w:t xml:space="preserve">The ACTRRA Executive Committee met on </w:t>
      </w:r>
      <w:r w:rsidR="00C858A8">
        <w:t>2</w:t>
      </w:r>
      <w:r w:rsidR="009E61E8">
        <w:t xml:space="preserve">3 </w:t>
      </w:r>
      <w:r w:rsidR="002417C5">
        <w:t>March</w:t>
      </w:r>
      <w:r w:rsidR="00C858A8">
        <w:t xml:space="preserve"> 2016</w:t>
      </w:r>
      <w:r w:rsidRPr="006346E3">
        <w:t xml:space="preserve">. Nye Konig, </w:t>
      </w:r>
      <w:r w:rsidR="002417C5">
        <w:t xml:space="preserve">Dennis Biessner, </w:t>
      </w:r>
      <w:r w:rsidRPr="006346E3">
        <w:t xml:space="preserve">Rob Boyes, Robin Peterson and David Trill attended, </w:t>
      </w:r>
      <w:r w:rsidR="00C858A8">
        <w:t>there were no</w:t>
      </w:r>
      <w:r w:rsidR="009E61E8">
        <w:t xml:space="preserve"> observers, guests or apologies</w:t>
      </w:r>
    </w:p>
    <w:p w:rsidR="006346E3" w:rsidRDefault="006346E3"/>
    <w:p w:rsidR="006346E3" w:rsidRDefault="006346E3">
      <w:r w:rsidRPr="006346E3">
        <w:t>The following report describes the status of operations as of that date for members:</w:t>
      </w:r>
    </w:p>
    <w:p w:rsidR="00AD4CF9" w:rsidRDefault="00AD4CF9" w:rsidP="00AD4CF9">
      <w:pPr>
        <w:pStyle w:val="Heading1"/>
      </w:pPr>
      <w:r>
        <w:t>President</w:t>
      </w:r>
    </w:p>
    <w:p w:rsidR="00AD4CF9" w:rsidRPr="00AD4CF9" w:rsidRDefault="00AD4CF9" w:rsidP="00AD4CF9">
      <w:r>
        <w:t xml:space="preserve">Nye Konig </w:t>
      </w:r>
      <w:r w:rsidR="00B774D0">
        <w:t>welcomed all attendees and introduced discussion with Brett Bowden on referee video reviews, and duties of a referee during and after the game.  This discussion also included the CGAC Report.</w:t>
      </w:r>
    </w:p>
    <w:p w:rsidR="006346E3" w:rsidRDefault="006346E3" w:rsidP="006346E3">
      <w:pPr>
        <w:pStyle w:val="Heading1"/>
      </w:pPr>
      <w:r>
        <w:t>Financial</w:t>
      </w:r>
    </w:p>
    <w:p w:rsidR="006346E3" w:rsidRDefault="006346E3" w:rsidP="006346E3">
      <w:r>
        <w:t>The Treasurer reported the status of the Association’s financial accounts to the Execut</w:t>
      </w:r>
      <w:r w:rsidR="00B774D0">
        <w:t>ive Committee. The accounts remain in good order.  The treasurer pointed out that there are outstanding subscriptions for 10 referees.</w:t>
      </w:r>
      <w:r>
        <w:t>.</w:t>
      </w:r>
    </w:p>
    <w:p w:rsidR="006346E3" w:rsidRDefault="00B774D0" w:rsidP="006346E3">
      <w:pPr>
        <w:pStyle w:val="Heading1"/>
      </w:pPr>
      <w:r>
        <w:t>Correspondence</w:t>
      </w:r>
    </w:p>
    <w:p w:rsidR="00B774D0" w:rsidRDefault="00FF5936" w:rsidP="006346E3">
      <w:r>
        <w:t>E</w:t>
      </w:r>
      <w:r w:rsidR="002417C5">
        <w:t xml:space="preserve">mail correspondence </w:t>
      </w:r>
      <w:r>
        <w:t>was received and actioned</w:t>
      </w:r>
      <w:r w:rsidR="002417C5">
        <w:t xml:space="preserve"> during the period since the previous Executive Meeting, all had been dealt with appropriately.</w:t>
      </w:r>
      <w:r w:rsidR="00FA7F39">
        <w:t xml:space="preserve">  </w:t>
      </w:r>
    </w:p>
    <w:p w:rsidR="00B774D0" w:rsidRDefault="00B774D0" w:rsidP="00B774D0">
      <w:pPr>
        <w:pStyle w:val="Heading1"/>
      </w:pPr>
      <w:r>
        <w:t>Objects and Rules</w:t>
      </w:r>
    </w:p>
    <w:p w:rsidR="00B774D0" w:rsidRDefault="00B774D0" w:rsidP="00B774D0">
      <w:r>
        <w:t>The updated objects and rules were submitted to the ACT ORS with names of the new office bearers.</w:t>
      </w:r>
    </w:p>
    <w:p w:rsidR="006346E3" w:rsidRDefault="006346E3" w:rsidP="006346E3">
      <w:pPr>
        <w:pStyle w:val="Heading1"/>
      </w:pPr>
      <w:r>
        <w:t>Matters finalised</w:t>
      </w:r>
    </w:p>
    <w:p w:rsidR="006346E3" w:rsidRDefault="006346E3" w:rsidP="006346E3">
      <w:r>
        <w:t>The following matters were finalised since the previous Operational Report:</w:t>
      </w:r>
    </w:p>
    <w:p w:rsidR="00E06EDA" w:rsidRDefault="009E61E8" w:rsidP="00E06EDA">
      <w:pPr>
        <w:pStyle w:val="ListParagraph"/>
        <w:numPr>
          <w:ilvl w:val="0"/>
          <w:numId w:val="4"/>
        </w:numPr>
      </w:pPr>
      <w:bookmarkStart w:id="1" w:name="_GoBack"/>
      <w:bookmarkEnd w:id="1"/>
      <w:r>
        <w:t xml:space="preserve">ACTRRA </w:t>
      </w:r>
      <w:r w:rsidR="00B774D0">
        <w:t>Banking</w:t>
      </w:r>
    </w:p>
    <w:p w:rsidR="002F5BED" w:rsidRDefault="00B774D0" w:rsidP="00E06EDA">
      <w:pPr>
        <w:pStyle w:val="ListParagraph"/>
        <w:numPr>
          <w:ilvl w:val="0"/>
          <w:numId w:val="4"/>
        </w:numPr>
      </w:pPr>
      <w:r>
        <w:t>2016 Registration Process</w:t>
      </w:r>
    </w:p>
    <w:p w:rsidR="00CA15EC" w:rsidRDefault="00CA15EC" w:rsidP="00E06EDA">
      <w:pPr>
        <w:pStyle w:val="ListParagraph"/>
        <w:numPr>
          <w:ilvl w:val="0"/>
          <w:numId w:val="4"/>
        </w:numPr>
      </w:pPr>
      <w:r>
        <w:t>ACTRRA Annual return</w:t>
      </w:r>
    </w:p>
    <w:p w:rsidR="00CA15EC" w:rsidRDefault="00CA15EC" w:rsidP="00E06EDA">
      <w:pPr>
        <w:pStyle w:val="ListParagraph"/>
        <w:numPr>
          <w:ilvl w:val="0"/>
          <w:numId w:val="4"/>
        </w:numPr>
      </w:pPr>
      <w:r>
        <w:t>Communication Equipment</w:t>
      </w:r>
    </w:p>
    <w:p w:rsidR="00CA15EC" w:rsidRDefault="00CA15EC" w:rsidP="00E06EDA">
      <w:pPr>
        <w:pStyle w:val="ListParagraph"/>
        <w:numPr>
          <w:ilvl w:val="0"/>
          <w:numId w:val="4"/>
        </w:numPr>
      </w:pPr>
      <w:r>
        <w:t>Community Rugby Strategy Paper</w:t>
      </w:r>
    </w:p>
    <w:p w:rsidR="006346E3" w:rsidRDefault="006346E3" w:rsidP="006346E3">
      <w:pPr>
        <w:pStyle w:val="Heading1"/>
      </w:pPr>
      <w:r>
        <w:t>Matters in progress</w:t>
      </w:r>
    </w:p>
    <w:p w:rsidR="006346E3" w:rsidRDefault="006346E3" w:rsidP="00CA15EC">
      <w:r>
        <w:t>The</w:t>
      </w:r>
      <w:r w:rsidR="00CA15EC">
        <w:t>re are several matters that remain in progress.</w:t>
      </w:r>
    </w:p>
    <w:p w:rsidR="002417C5" w:rsidRDefault="00FA7F39" w:rsidP="002417C5">
      <w:pPr>
        <w:pStyle w:val="Heading1"/>
      </w:pPr>
      <w:r>
        <w:t>New Action Items</w:t>
      </w:r>
    </w:p>
    <w:p w:rsidR="002417C5" w:rsidRDefault="002417C5" w:rsidP="002417C5">
      <w:r>
        <w:t>The following new matter</w:t>
      </w:r>
      <w:r w:rsidR="00FA7F39">
        <w:t>s</w:t>
      </w:r>
      <w:r>
        <w:t xml:space="preserve"> have been scheduled for action:</w:t>
      </w:r>
    </w:p>
    <w:p w:rsidR="002F5BED" w:rsidRPr="00CA15EC" w:rsidRDefault="00CA15EC" w:rsidP="00CA15EC">
      <w:pPr>
        <w:pStyle w:val="ListParagraph"/>
        <w:numPr>
          <w:ilvl w:val="0"/>
          <w:numId w:val="5"/>
        </w:numPr>
        <w:ind w:left="1134" w:hanging="774"/>
        <w:rPr>
          <w:color w:val="auto"/>
        </w:rPr>
      </w:pPr>
      <w:r>
        <w:rPr>
          <w:color w:val="auto"/>
        </w:rPr>
        <w:t>Budget Options</w:t>
      </w:r>
    </w:p>
    <w:p w:rsidR="006346E3" w:rsidRDefault="006346E3" w:rsidP="006346E3">
      <w:pPr>
        <w:pStyle w:val="Heading1"/>
      </w:pPr>
      <w:r>
        <w:t>Next Meeting:</w:t>
      </w:r>
    </w:p>
    <w:p w:rsidR="006346E3" w:rsidRDefault="006346E3" w:rsidP="006346E3">
      <w:r>
        <w:t>The next ACTRRA Executive Meeting is scheduled for</w:t>
      </w:r>
      <w:r w:rsidR="00E06EDA">
        <w:t xml:space="preserve"> </w:t>
      </w:r>
      <w:r w:rsidR="00CA15EC">
        <w:t>24</w:t>
      </w:r>
      <w:r w:rsidR="002417C5">
        <w:t xml:space="preserve"> </w:t>
      </w:r>
      <w:r w:rsidR="00CA15EC">
        <w:t>May</w:t>
      </w:r>
      <w:r w:rsidR="00E06EDA">
        <w:t xml:space="preserve"> 2016</w:t>
      </w:r>
      <w:r>
        <w:t>.</w:t>
      </w:r>
    </w:p>
    <w:p w:rsidR="006346E3" w:rsidRDefault="006346E3"/>
    <w:sectPr w:rsidR="006346E3" w:rsidSect="002835FA">
      <w:headerReference w:type="default" r:id="rId7"/>
      <w:footerReference w:type="default" r:id="rId8"/>
      <w:pgSz w:w="11906" w:h="16838"/>
      <w:pgMar w:top="998" w:right="1135" w:bottom="1077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61" w:rsidRDefault="00E70961">
      <w:r>
        <w:separator/>
      </w:r>
    </w:p>
  </w:endnote>
  <w:endnote w:type="continuationSeparator" w:id="0">
    <w:p w:rsidR="00E70961" w:rsidRDefault="00E7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AD" w:rsidRDefault="002C4F6F">
    <w:pPr>
      <w:tabs>
        <w:tab w:val="center" w:pos="4153"/>
        <w:tab w:val="right" w:pos="8306"/>
      </w:tabs>
      <w:jc w:val="right"/>
    </w:pPr>
    <w:r>
      <w:tab/>
      <w:t xml:space="preserve">Page </w:t>
    </w:r>
    <w:r w:rsidR="00292D29">
      <w:fldChar w:fldCharType="begin"/>
    </w:r>
    <w:r>
      <w:instrText>PAGE</w:instrText>
    </w:r>
    <w:r w:rsidR="00292D29">
      <w:fldChar w:fldCharType="separate"/>
    </w:r>
    <w:r w:rsidR="00F82539">
      <w:rPr>
        <w:noProof/>
      </w:rPr>
      <w:t>1</w:t>
    </w:r>
    <w:r w:rsidR="00292D29">
      <w:fldChar w:fldCharType="end"/>
    </w:r>
    <w:r>
      <w:rPr>
        <w:b/>
      </w:rPr>
      <w:t xml:space="preserve"> of </w:t>
    </w:r>
    <w:r w:rsidR="00292D29">
      <w:fldChar w:fldCharType="begin"/>
    </w:r>
    <w:r>
      <w:instrText>NUMPAGES</w:instrText>
    </w:r>
    <w:r w:rsidR="00292D29">
      <w:fldChar w:fldCharType="separate"/>
    </w:r>
    <w:r w:rsidR="00F82539">
      <w:rPr>
        <w:noProof/>
      </w:rPr>
      <w:t>1</w:t>
    </w:r>
    <w:r w:rsidR="00292D29">
      <w:fldChar w:fldCharType="end"/>
    </w:r>
  </w:p>
  <w:p w:rsidR="00700AAD" w:rsidRDefault="00700A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61" w:rsidRDefault="00E70961">
      <w:r>
        <w:separator/>
      </w:r>
    </w:p>
  </w:footnote>
  <w:footnote w:type="continuationSeparator" w:id="0">
    <w:p w:rsidR="00E70961" w:rsidRDefault="00E70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AD" w:rsidRDefault="00700AAD">
    <w:pPr>
      <w:widowControl w:val="0"/>
      <w:spacing w:line="276" w:lineRule="auto"/>
    </w:pPr>
  </w:p>
  <w:tbl>
    <w:tblPr>
      <w:tblStyle w:val="a"/>
      <w:tblW w:w="9569" w:type="dxa"/>
      <w:tblInd w:w="-115" w:type="dxa"/>
      <w:tblBorders>
        <w:bottom w:val="single" w:sz="4" w:space="0" w:color="000000"/>
      </w:tblBorders>
      <w:tblLayout w:type="fixed"/>
      <w:tblLook w:val="0400"/>
    </w:tblPr>
    <w:tblGrid>
      <w:gridCol w:w="3485"/>
      <w:gridCol w:w="6084"/>
    </w:tblGrid>
    <w:tr w:rsidR="00700AAD">
      <w:trPr>
        <w:trHeight w:val="860"/>
      </w:trPr>
      <w:tc>
        <w:tcPr>
          <w:tcW w:w="3485" w:type="dxa"/>
        </w:tcPr>
        <w:p w:rsidR="00700AAD" w:rsidRDefault="002C4F6F">
          <w:pPr>
            <w:tabs>
              <w:tab w:val="center" w:pos="4153"/>
              <w:tab w:val="right" w:pos="8306"/>
            </w:tabs>
            <w:spacing w:before="709"/>
          </w:pPr>
          <w:r>
            <w:rPr>
              <w:noProof/>
            </w:rPr>
            <w:drawing>
              <wp:inline distT="0" distB="0" distL="0" distR="0">
                <wp:extent cx="533400" cy="596900"/>
                <wp:effectExtent l="0" t="0" r="0" b="0"/>
                <wp:docPr id="2" name="image01.png" descr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Pictu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96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:rsidR="00700AAD" w:rsidRDefault="002C4F6F" w:rsidP="00861190">
          <w:pPr>
            <w:tabs>
              <w:tab w:val="center" w:pos="4153"/>
              <w:tab w:val="right" w:pos="8306"/>
            </w:tabs>
            <w:spacing w:before="709"/>
            <w:jc w:val="right"/>
          </w:pPr>
          <w:r>
            <w:t xml:space="preserve">ACTRRA </w:t>
          </w:r>
          <w:r w:rsidR="00861190">
            <w:t>Operational Report</w:t>
          </w:r>
        </w:p>
      </w:tc>
    </w:tr>
  </w:tbl>
  <w:p w:rsidR="00700AAD" w:rsidRDefault="00700A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FBD"/>
    <w:multiLevelType w:val="hybridMultilevel"/>
    <w:tmpl w:val="4BB24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35F7"/>
    <w:multiLevelType w:val="multilevel"/>
    <w:tmpl w:val="175A24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DDA4CEB"/>
    <w:multiLevelType w:val="hybridMultilevel"/>
    <w:tmpl w:val="20F0F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708B1"/>
    <w:multiLevelType w:val="hybridMultilevel"/>
    <w:tmpl w:val="01B6F174"/>
    <w:lvl w:ilvl="0" w:tplc="B95C6CD0">
      <w:numFmt w:val="bullet"/>
      <w:lvlText w:val="·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2A83"/>
    <w:multiLevelType w:val="hybridMultilevel"/>
    <w:tmpl w:val="5A58753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67DA"/>
    <w:multiLevelType w:val="hybridMultilevel"/>
    <w:tmpl w:val="A5F2C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AD"/>
    <w:rsid w:val="00054C68"/>
    <w:rsid w:val="00081064"/>
    <w:rsid w:val="000A796A"/>
    <w:rsid w:val="000E462E"/>
    <w:rsid w:val="001D3095"/>
    <w:rsid w:val="002417C5"/>
    <w:rsid w:val="002835FA"/>
    <w:rsid w:val="00292D29"/>
    <w:rsid w:val="002C4F6F"/>
    <w:rsid w:val="002F5BED"/>
    <w:rsid w:val="00307FC6"/>
    <w:rsid w:val="0035523F"/>
    <w:rsid w:val="00365724"/>
    <w:rsid w:val="003E2471"/>
    <w:rsid w:val="00583FAE"/>
    <w:rsid w:val="005B7429"/>
    <w:rsid w:val="005D19CE"/>
    <w:rsid w:val="006346E3"/>
    <w:rsid w:val="00700AAD"/>
    <w:rsid w:val="00861190"/>
    <w:rsid w:val="00935B9B"/>
    <w:rsid w:val="009D355B"/>
    <w:rsid w:val="009E61E8"/>
    <w:rsid w:val="009F2313"/>
    <w:rsid w:val="00A26605"/>
    <w:rsid w:val="00A36AC7"/>
    <w:rsid w:val="00AD4CF9"/>
    <w:rsid w:val="00B774D0"/>
    <w:rsid w:val="00B8252D"/>
    <w:rsid w:val="00BC5BE4"/>
    <w:rsid w:val="00BF1591"/>
    <w:rsid w:val="00C3318F"/>
    <w:rsid w:val="00C858A8"/>
    <w:rsid w:val="00CA15EC"/>
    <w:rsid w:val="00E06EDA"/>
    <w:rsid w:val="00E70961"/>
    <w:rsid w:val="00EA3C53"/>
    <w:rsid w:val="00F7777B"/>
    <w:rsid w:val="00F82539"/>
    <w:rsid w:val="00FA7F39"/>
    <w:rsid w:val="00FB0D35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5FA"/>
  </w:style>
  <w:style w:type="paragraph" w:styleId="Heading1">
    <w:name w:val="heading 1"/>
    <w:basedOn w:val="Normal"/>
    <w:next w:val="Normal"/>
    <w:rsid w:val="002835FA"/>
    <w:pPr>
      <w:keepNext/>
      <w:keepLines/>
      <w:spacing w:before="24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rsid w:val="002835FA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2835FA"/>
    <w:pPr>
      <w:keepNext/>
      <w:keepLines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rsid w:val="002835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835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835F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835FA"/>
    <w:pPr>
      <w:keepNext/>
      <w:keepLines/>
      <w:spacing w:after="300"/>
    </w:pPr>
    <w:rPr>
      <w:rFonts w:ascii="Calibri" w:eastAsia="Calibri" w:hAnsi="Calibri" w:cs="Calibri"/>
      <w:sz w:val="52"/>
      <w:szCs w:val="52"/>
    </w:rPr>
  </w:style>
  <w:style w:type="paragraph" w:styleId="Subtitle">
    <w:name w:val="Subtitle"/>
    <w:basedOn w:val="Normal"/>
    <w:next w:val="Normal"/>
    <w:rsid w:val="002835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35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90"/>
  </w:style>
  <w:style w:type="paragraph" w:styleId="Footer">
    <w:name w:val="footer"/>
    <w:basedOn w:val="Normal"/>
    <w:link w:val="FooterChar"/>
    <w:uiPriority w:val="99"/>
    <w:unhideWhenUsed/>
    <w:rsid w:val="00861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90"/>
  </w:style>
  <w:style w:type="paragraph" w:styleId="ListParagraph">
    <w:name w:val="List Paragraph"/>
    <w:basedOn w:val="Normal"/>
    <w:uiPriority w:val="34"/>
    <w:qFormat/>
    <w:rsid w:val="00634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The Trills</cp:lastModifiedBy>
  <cp:revision>2</cp:revision>
  <dcterms:created xsi:type="dcterms:W3CDTF">2016-07-02T02:58:00Z</dcterms:created>
  <dcterms:modified xsi:type="dcterms:W3CDTF">2016-07-02T02:58:00Z</dcterms:modified>
</cp:coreProperties>
</file>